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264196">
        <w:rPr>
          <w:b/>
          <w:sz w:val="32"/>
          <w:szCs w:val="32"/>
        </w:rPr>
        <w:t>W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4C35BB" w:rsidRPr="001E077C" w:rsidRDefault="004C35BB" w:rsidP="00142919">
      <w:pPr>
        <w:pStyle w:val="Akapitzlist"/>
        <w:ind w:left="0"/>
        <w:jc w:val="center"/>
        <w:rPr>
          <w:b/>
          <w:sz w:val="24"/>
          <w:szCs w:val="24"/>
        </w:rPr>
      </w:pPr>
    </w:p>
    <w:p w:rsidR="002323F8" w:rsidRDefault="00264196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Umożliwiono dodanie do ekranu VAT-Sprzedaż kolumny numer umowy pożyczkowej.</w:t>
      </w:r>
    </w:p>
    <w:p w:rsidR="00CF0D58" w:rsidRDefault="00CF0D58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Zapamiętywanie zmian w upoważnieniach klientów</w:t>
      </w:r>
    </w:p>
    <w:p w:rsidR="00B26493" w:rsidRDefault="00B26493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Umożliwiono definicje firm windykacyjnej opcja „Baza-&gt;Słowniki-&gt;Windykacyjne firmy”</w:t>
      </w:r>
    </w:p>
    <w:p w:rsidR="000523C0" w:rsidRDefault="000523C0" w:rsidP="000523C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Ulepszono walidacje danych wymagalnych przy zapisie.  System podczas zapisu danych po </w:t>
      </w:r>
      <w:proofErr w:type="gramStart"/>
      <w:r>
        <w:rPr>
          <w:sz w:val="24"/>
          <w:szCs w:val="24"/>
        </w:rPr>
        <w:t>sprawdzeniu że</w:t>
      </w:r>
      <w:proofErr w:type="gramEnd"/>
      <w:r>
        <w:rPr>
          <w:sz w:val="24"/>
          <w:szCs w:val="24"/>
        </w:rPr>
        <w:t xml:space="preserve"> są dane wymagalne ale nie obligatoryjne wyświetli komunikat, widoczny poniżej. Poprzednio </w:t>
      </w:r>
      <w:proofErr w:type="gramStart"/>
      <w:r>
        <w:rPr>
          <w:sz w:val="24"/>
          <w:szCs w:val="24"/>
        </w:rPr>
        <w:t>informował że</w:t>
      </w:r>
      <w:proofErr w:type="gramEnd"/>
      <w:r>
        <w:rPr>
          <w:sz w:val="24"/>
          <w:szCs w:val="24"/>
        </w:rPr>
        <w:t xml:space="preserve"> formularz zawiera błędy ale pozwalał zapisać dane.</w:t>
      </w:r>
    </w:p>
    <w:p w:rsidR="000523C0" w:rsidRDefault="00582285" w:rsidP="00582285">
      <w:pPr>
        <w:ind w:left="1701" w:firstLine="142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BE5455" wp14:editId="42372A7D">
            <wp:extent cx="3067050" cy="1628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3C0" w:rsidRPr="000523C0" w:rsidRDefault="000523C0" w:rsidP="000523C0">
      <w:pPr>
        <w:jc w:val="center"/>
        <w:rPr>
          <w:sz w:val="24"/>
          <w:szCs w:val="24"/>
        </w:rPr>
      </w:pPr>
    </w:p>
    <w:p w:rsidR="000523C0" w:rsidRDefault="000523C0" w:rsidP="000523C0">
      <w:pPr>
        <w:rPr>
          <w:sz w:val="24"/>
          <w:szCs w:val="24"/>
        </w:rPr>
      </w:pPr>
    </w:p>
    <w:p w:rsidR="000523C0" w:rsidRPr="000523C0" w:rsidRDefault="000523C0" w:rsidP="000523C0">
      <w:pPr>
        <w:rPr>
          <w:sz w:val="24"/>
          <w:szCs w:val="24"/>
        </w:rPr>
      </w:pPr>
    </w:p>
    <w:p w:rsidR="00CA4186" w:rsidRPr="00CA4186" w:rsidRDefault="00CA4186" w:rsidP="00CA4186">
      <w:pPr>
        <w:pStyle w:val="Akapitzlist"/>
        <w:numPr>
          <w:ilvl w:val="0"/>
          <w:numId w:val="15"/>
        </w:numPr>
        <w:rPr>
          <w:sz w:val="24"/>
          <w:szCs w:val="24"/>
        </w:rPr>
      </w:pPr>
    </w:p>
    <w:p w:rsidR="00CA4186" w:rsidRPr="00CA4186" w:rsidRDefault="00CA4186" w:rsidP="00CA4186">
      <w:pPr>
        <w:pStyle w:val="Akapitzlist"/>
        <w:rPr>
          <w:sz w:val="24"/>
          <w:szCs w:val="24"/>
        </w:rPr>
      </w:pPr>
      <w:r w:rsidRPr="00CA4186">
        <w:rPr>
          <w:sz w:val="24"/>
          <w:szCs w:val="24"/>
        </w:rPr>
        <w:t xml:space="preserve">Do danych umowy na </w:t>
      </w:r>
      <w:proofErr w:type="gramStart"/>
      <w:r w:rsidRPr="00CA4186">
        <w:rPr>
          <w:sz w:val="24"/>
          <w:szCs w:val="24"/>
        </w:rPr>
        <w:t>zakładce  Dane</w:t>
      </w:r>
      <w:proofErr w:type="gramEnd"/>
      <w:r w:rsidRPr="00CA4186">
        <w:rPr>
          <w:sz w:val="24"/>
          <w:szCs w:val="24"/>
        </w:rPr>
        <w:t xml:space="preserve"> pozostałe dodano 3 dodatkowe pola:</w:t>
      </w:r>
    </w:p>
    <w:p w:rsidR="00CA4186" w:rsidRPr="00CA4186" w:rsidRDefault="00CA4186" w:rsidP="00CA4186">
      <w:pPr>
        <w:pStyle w:val="Akapitzlist"/>
        <w:rPr>
          <w:sz w:val="24"/>
          <w:szCs w:val="24"/>
        </w:rPr>
      </w:pPr>
      <w:r w:rsidRPr="00CA4186">
        <w:rPr>
          <w:sz w:val="24"/>
          <w:szCs w:val="24"/>
        </w:rPr>
        <w:t>- Czy korzystano z usług doradztwa (Tak/ Nie)</w:t>
      </w:r>
    </w:p>
    <w:p w:rsidR="00CA4186" w:rsidRPr="00CA4186" w:rsidRDefault="00CA4186" w:rsidP="00CA4186">
      <w:pPr>
        <w:pStyle w:val="Akapitzlist"/>
        <w:rPr>
          <w:sz w:val="24"/>
          <w:szCs w:val="24"/>
        </w:rPr>
      </w:pPr>
      <w:r w:rsidRPr="00CA4186">
        <w:rPr>
          <w:sz w:val="24"/>
          <w:szCs w:val="24"/>
        </w:rPr>
        <w:t xml:space="preserve">- Rodzaj pożyczki ( (1) podstawowa, (2) uzupełniająca, (3) dla </w:t>
      </w:r>
      <w:proofErr w:type="gramStart"/>
      <w:r w:rsidRPr="00CA4186">
        <w:rPr>
          <w:sz w:val="24"/>
          <w:szCs w:val="24"/>
        </w:rPr>
        <w:t>przedsiębiorcy )</w:t>
      </w:r>
      <w:proofErr w:type="gramEnd"/>
    </w:p>
    <w:p w:rsidR="00CA4186" w:rsidRPr="00CA4186" w:rsidRDefault="00CA4186" w:rsidP="00CA4186">
      <w:pPr>
        <w:pStyle w:val="Akapitzlist"/>
        <w:rPr>
          <w:sz w:val="24"/>
          <w:szCs w:val="24"/>
        </w:rPr>
      </w:pPr>
      <w:r w:rsidRPr="00CA4186">
        <w:rPr>
          <w:sz w:val="24"/>
          <w:szCs w:val="24"/>
        </w:rPr>
        <w:t>- Rodzaj klienta (student, absolwent, bezrobotny)</w:t>
      </w:r>
    </w:p>
    <w:p w:rsidR="00CA4186" w:rsidRDefault="00CA4186" w:rsidP="00CA4186"/>
    <w:p w:rsidR="00CA4186" w:rsidRDefault="00CA4186" w:rsidP="00F72C7C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6ABA17E" wp14:editId="515F213C">
            <wp:extent cx="575310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7C" w:rsidRDefault="00F72C7C" w:rsidP="00F72C7C">
      <w:pPr>
        <w:pStyle w:val="Akapitzlist"/>
        <w:numPr>
          <w:ilvl w:val="0"/>
          <w:numId w:val="15"/>
        </w:numPr>
      </w:pPr>
      <w:r>
        <w:t>Do wniosku o statusie odrzucony dodano możliwość podglądu notatek o powodzie jego odrzucenia. Notatki są widoczne zarówno we wniosku dla osób fizycznych jak i dla firm</w:t>
      </w:r>
    </w:p>
    <w:p w:rsidR="00F72C7C" w:rsidRDefault="00F72C7C" w:rsidP="00F72C7C">
      <w:pPr>
        <w:ind w:left="708"/>
      </w:pPr>
      <w:r>
        <w:t>- Duży wniosek</w:t>
      </w:r>
    </w:p>
    <w:p w:rsidR="00F72C7C" w:rsidRDefault="00F72C7C" w:rsidP="00F72C7C">
      <w:r>
        <w:rPr>
          <w:noProof/>
          <w:lang w:eastAsia="pl-PL"/>
        </w:rPr>
        <w:drawing>
          <wp:inline distT="0" distB="0" distL="0" distR="0" wp14:anchorId="79233A64" wp14:editId="57840FCE">
            <wp:extent cx="5753100" cy="2790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E2" w:rsidRDefault="001145E2" w:rsidP="001145E2">
      <w:r>
        <w:t xml:space="preserve">Do zakładki </w:t>
      </w:r>
      <w:r>
        <w:rPr>
          <w:b/>
        </w:rPr>
        <w:t xml:space="preserve">windykacja sądowa </w:t>
      </w:r>
      <w:r>
        <w:t>dodano następujące pola</w:t>
      </w:r>
    </w:p>
    <w:p w:rsidR="001145E2" w:rsidRDefault="001145E2" w:rsidP="001145E2">
      <w:r>
        <w:t xml:space="preserve">- Status </w:t>
      </w:r>
      <w:proofErr w:type="gramStart"/>
      <w:r>
        <w:t>windykacji  (w</w:t>
      </w:r>
      <w:proofErr w:type="gramEnd"/>
      <w:r>
        <w:t xml:space="preserve"> przygotowaniu, w trakcie, zakończona)</w:t>
      </w:r>
      <w:r>
        <w:br/>
        <w:t>- Status umorzenia (w przygotowaniu, oczekujące na decyzję, przyznane, odrzucone )</w:t>
      </w:r>
      <w:r>
        <w:br/>
        <w:t>- Powód umorzenia (nieskuteczna windykacja, preferencyjne )</w:t>
      </w:r>
    </w:p>
    <w:p w:rsidR="001145E2" w:rsidRDefault="001145E2" w:rsidP="001145E2"/>
    <w:p w:rsidR="001145E2" w:rsidRPr="00A23040" w:rsidRDefault="001145E2" w:rsidP="001145E2">
      <w:r>
        <w:rPr>
          <w:noProof/>
          <w:lang w:eastAsia="pl-PL"/>
        </w:rPr>
        <w:lastRenderedPageBreak/>
        <w:drawing>
          <wp:inline distT="0" distB="0" distL="0" distR="0" wp14:anchorId="41A4BA5F" wp14:editId="678EABB8">
            <wp:extent cx="5753100" cy="3248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7C" w:rsidRDefault="00F72C7C" w:rsidP="00F72C7C"/>
    <w:p w:rsidR="00F72C7C" w:rsidRDefault="003502F2" w:rsidP="00F72C7C">
      <w:r>
        <w:t>- Dodano nowy raport „Księgowość-&gt;Raporty-&gt;Raporty dla funduszy pożyczkowych-&gt;Spłaty z nadpłaty.</w:t>
      </w:r>
    </w:p>
    <w:p w:rsidR="003502F2" w:rsidRDefault="003502F2" w:rsidP="00F72C7C">
      <w:r>
        <w:t xml:space="preserve">Opcja tworzy raport za okres obejmujący </w:t>
      </w:r>
      <w:r w:rsidR="001573DC">
        <w:t>informację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r>
        <w:t>Nazwa klienta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r>
        <w:t>Numer umowy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r>
        <w:t xml:space="preserve">Data rozksięgowania nadpłaty przez </w:t>
      </w:r>
      <w:proofErr w:type="spellStart"/>
      <w:r>
        <w:t>PBazę</w:t>
      </w:r>
      <w:proofErr w:type="spellEnd"/>
    </w:p>
    <w:p w:rsidR="003502F2" w:rsidRDefault="003502F2" w:rsidP="003502F2">
      <w:pPr>
        <w:pStyle w:val="Akapitzlist"/>
        <w:numPr>
          <w:ilvl w:val="0"/>
          <w:numId w:val="21"/>
        </w:numPr>
      </w:pPr>
      <w:r>
        <w:t>Kwota rozksięgowania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proofErr w:type="gramStart"/>
      <w:r>
        <w:t xml:space="preserve">Odsetki  </w:t>
      </w:r>
      <w:r w:rsidR="001573DC">
        <w:t>umowne</w:t>
      </w:r>
      <w:proofErr w:type="gramEnd"/>
    </w:p>
    <w:p w:rsidR="003502F2" w:rsidRDefault="003502F2" w:rsidP="003502F2">
      <w:pPr>
        <w:pStyle w:val="Akapitzlist"/>
        <w:numPr>
          <w:ilvl w:val="0"/>
          <w:numId w:val="21"/>
        </w:numPr>
      </w:pPr>
      <w:r>
        <w:t>Kapitał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r>
        <w:t xml:space="preserve">Wpływ na </w:t>
      </w:r>
      <w:proofErr w:type="gramStart"/>
      <w:r>
        <w:t>nadpłatę  w</w:t>
      </w:r>
      <w:proofErr w:type="gramEnd"/>
      <w:r>
        <w:t xml:space="preserve"> miesiącu </w:t>
      </w:r>
    </w:p>
    <w:p w:rsidR="003502F2" w:rsidRDefault="003502F2" w:rsidP="003502F2">
      <w:pPr>
        <w:pStyle w:val="Akapitzlist"/>
        <w:numPr>
          <w:ilvl w:val="0"/>
          <w:numId w:val="21"/>
        </w:numPr>
      </w:pPr>
      <w:r>
        <w:t xml:space="preserve">Saldo nadpłaty na koniec </w:t>
      </w:r>
    </w:p>
    <w:p w:rsidR="003502F2" w:rsidRDefault="003502F2" w:rsidP="00F72C7C"/>
    <w:p w:rsidR="00F72C7C" w:rsidRDefault="00F72C7C" w:rsidP="00F72C7C">
      <w:pPr>
        <w:pStyle w:val="Akapitzlist"/>
        <w:rPr>
          <w:sz w:val="24"/>
          <w:szCs w:val="24"/>
        </w:rPr>
      </w:pPr>
    </w:p>
    <w:p w:rsidR="000523C0" w:rsidRDefault="00FD20E4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Poprawiono algorytm wyliczenia odsetek metodą 360. </w:t>
      </w:r>
      <w:r w:rsidR="00217468">
        <w:rPr>
          <w:sz w:val="24"/>
          <w:szCs w:val="24"/>
        </w:rPr>
        <w:t>Proszę o zwrócenie uwagi na wyliczenie odsetek tą metodą.</w:t>
      </w:r>
      <w:bookmarkStart w:id="0" w:name="_GoBack"/>
      <w:bookmarkEnd w:id="0"/>
    </w:p>
    <w:p w:rsidR="000523C0" w:rsidRDefault="000523C0" w:rsidP="000523C0">
      <w:pPr>
        <w:rPr>
          <w:sz w:val="24"/>
          <w:szCs w:val="24"/>
        </w:rPr>
      </w:pPr>
    </w:p>
    <w:p w:rsidR="000523C0" w:rsidRPr="000523C0" w:rsidRDefault="000523C0" w:rsidP="000523C0">
      <w:pPr>
        <w:rPr>
          <w:sz w:val="24"/>
          <w:szCs w:val="24"/>
        </w:rPr>
      </w:pPr>
    </w:p>
    <w:p w:rsidR="00D1403D" w:rsidRPr="001E077C" w:rsidRDefault="00D1403D" w:rsidP="001E077C">
      <w:pPr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lastRenderedPageBreak/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264196">
        <w:t xml:space="preserve"> 4.17W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4B" w:rsidRDefault="0072254B" w:rsidP="004825D0">
      <w:pPr>
        <w:spacing w:after="0" w:line="240" w:lineRule="auto"/>
      </w:pPr>
      <w:r>
        <w:separator/>
      </w:r>
    </w:p>
  </w:endnote>
  <w:endnote w:type="continuationSeparator" w:id="0">
    <w:p w:rsidR="0072254B" w:rsidRDefault="0072254B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4B" w:rsidRDefault="0072254B" w:rsidP="004825D0">
      <w:pPr>
        <w:spacing w:after="0" w:line="240" w:lineRule="auto"/>
      </w:pPr>
      <w:r>
        <w:separator/>
      </w:r>
    </w:p>
  </w:footnote>
  <w:footnote w:type="continuationSeparator" w:id="0">
    <w:p w:rsidR="0072254B" w:rsidRDefault="0072254B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64D6"/>
    <w:multiLevelType w:val="hybridMultilevel"/>
    <w:tmpl w:val="90E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CFC"/>
    <w:multiLevelType w:val="hybridMultilevel"/>
    <w:tmpl w:val="50E25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C0F0C"/>
    <w:multiLevelType w:val="hybridMultilevel"/>
    <w:tmpl w:val="CBCE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36496F"/>
    <w:multiLevelType w:val="hybridMultilevel"/>
    <w:tmpl w:val="3CF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18"/>
  </w:num>
  <w:num w:numId="18">
    <w:abstractNumId w:val="15"/>
  </w:num>
  <w:num w:numId="19">
    <w:abstractNumId w:val="10"/>
  </w:num>
  <w:num w:numId="20">
    <w:abstractNumId w:val="12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36CAE"/>
    <w:rsid w:val="00050B73"/>
    <w:rsid w:val="000523C0"/>
    <w:rsid w:val="0006277B"/>
    <w:rsid w:val="00070538"/>
    <w:rsid w:val="000843F4"/>
    <w:rsid w:val="000A54C1"/>
    <w:rsid w:val="000A6DE3"/>
    <w:rsid w:val="000B231B"/>
    <w:rsid w:val="000B4769"/>
    <w:rsid w:val="000C0608"/>
    <w:rsid w:val="000C586C"/>
    <w:rsid w:val="000D112E"/>
    <w:rsid w:val="000E4F6F"/>
    <w:rsid w:val="00103D9A"/>
    <w:rsid w:val="00105B8E"/>
    <w:rsid w:val="00105E9B"/>
    <w:rsid w:val="00106E90"/>
    <w:rsid w:val="00110799"/>
    <w:rsid w:val="001145E2"/>
    <w:rsid w:val="00124B26"/>
    <w:rsid w:val="00124D05"/>
    <w:rsid w:val="001273DE"/>
    <w:rsid w:val="00131607"/>
    <w:rsid w:val="001352F5"/>
    <w:rsid w:val="00142919"/>
    <w:rsid w:val="0014549F"/>
    <w:rsid w:val="001573DC"/>
    <w:rsid w:val="001627AB"/>
    <w:rsid w:val="00162A94"/>
    <w:rsid w:val="00166866"/>
    <w:rsid w:val="00180CD0"/>
    <w:rsid w:val="0018318F"/>
    <w:rsid w:val="001873AC"/>
    <w:rsid w:val="00193448"/>
    <w:rsid w:val="001A1C93"/>
    <w:rsid w:val="001B388A"/>
    <w:rsid w:val="001D4B0B"/>
    <w:rsid w:val="001E077C"/>
    <w:rsid w:val="001E0A7D"/>
    <w:rsid w:val="001E266E"/>
    <w:rsid w:val="001F561C"/>
    <w:rsid w:val="00202208"/>
    <w:rsid w:val="0020752F"/>
    <w:rsid w:val="002145F7"/>
    <w:rsid w:val="00217468"/>
    <w:rsid w:val="0022452C"/>
    <w:rsid w:val="002323F8"/>
    <w:rsid w:val="00245292"/>
    <w:rsid w:val="00264196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334C"/>
    <w:rsid w:val="002E4D91"/>
    <w:rsid w:val="002F20FF"/>
    <w:rsid w:val="00302B12"/>
    <w:rsid w:val="00305819"/>
    <w:rsid w:val="00305A4B"/>
    <w:rsid w:val="00321807"/>
    <w:rsid w:val="00322541"/>
    <w:rsid w:val="00337FA8"/>
    <w:rsid w:val="0034488C"/>
    <w:rsid w:val="003502F2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3E53AD"/>
    <w:rsid w:val="003E6812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6CBE"/>
    <w:rsid w:val="00497F62"/>
    <w:rsid w:val="004C1498"/>
    <w:rsid w:val="004C3423"/>
    <w:rsid w:val="004C35BB"/>
    <w:rsid w:val="004C7B96"/>
    <w:rsid w:val="004C7F47"/>
    <w:rsid w:val="004E2C15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77001"/>
    <w:rsid w:val="0058023A"/>
    <w:rsid w:val="0058046D"/>
    <w:rsid w:val="00582285"/>
    <w:rsid w:val="00591723"/>
    <w:rsid w:val="0059179F"/>
    <w:rsid w:val="00597E05"/>
    <w:rsid w:val="005A3B74"/>
    <w:rsid w:val="005B4EBB"/>
    <w:rsid w:val="005B5911"/>
    <w:rsid w:val="005C0DBA"/>
    <w:rsid w:val="005C6E14"/>
    <w:rsid w:val="005F600A"/>
    <w:rsid w:val="005F6E24"/>
    <w:rsid w:val="00603FA6"/>
    <w:rsid w:val="00610923"/>
    <w:rsid w:val="00632DD4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C7903"/>
    <w:rsid w:val="006D1A6A"/>
    <w:rsid w:val="006D41A5"/>
    <w:rsid w:val="006D6662"/>
    <w:rsid w:val="006E24F3"/>
    <w:rsid w:val="006E3123"/>
    <w:rsid w:val="006E7416"/>
    <w:rsid w:val="007068BA"/>
    <w:rsid w:val="00706F70"/>
    <w:rsid w:val="00710C5E"/>
    <w:rsid w:val="0071338C"/>
    <w:rsid w:val="00720E52"/>
    <w:rsid w:val="0072254B"/>
    <w:rsid w:val="007315A8"/>
    <w:rsid w:val="007356A8"/>
    <w:rsid w:val="007503A1"/>
    <w:rsid w:val="007543F0"/>
    <w:rsid w:val="00767DAB"/>
    <w:rsid w:val="0077355A"/>
    <w:rsid w:val="007836A8"/>
    <w:rsid w:val="007846D7"/>
    <w:rsid w:val="00792018"/>
    <w:rsid w:val="007C1422"/>
    <w:rsid w:val="007E16D4"/>
    <w:rsid w:val="008013AD"/>
    <w:rsid w:val="00806509"/>
    <w:rsid w:val="008166D0"/>
    <w:rsid w:val="00821817"/>
    <w:rsid w:val="00822413"/>
    <w:rsid w:val="0082451C"/>
    <w:rsid w:val="00836F4E"/>
    <w:rsid w:val="0084239A"/>
    <w:rsid w:val="0084555C"/>
    <w:rsid w:val="00872A01"/>
    <w:rsid w:val="00875F3B"/>
    <w:rsid w:val="0088111E"/>
    <w:rsid w:val="00883531"/>
    <w:rsid w:val="00884E2E"/>
    <w:rsid w:val="008A6EB4"/>
    <w:rsid w:val="008B0AEC"/>
    <w:rsid w:val="008D739F"/>
    <w:rsid w:val="008D7ABE"/>
    <w:rsid w:val="008E3C21"/>
    <w:rsid w:val="008E5C73"/>
    <w:rsid w:val="008F3611"/>
    <w:rsid w:val="009210CC"/>
    <w:rsid w:val="0093302C"/>
    <w:rsid w:val="009560E4"/>
    <w:rsid w:val="00962413"/>
    <w:rsid w:val="009711EA"/>
    <w:rsid w:val="00971541"/>
    <w:rsid w:val="00972C8D"/>
    <w:rsid w:val="00977958"/>
    <w:rsid w:val="00984AFE"/>
    <w:rsid w:val="00987CE5"/>
    <w:rsid w:val="009A20D9"/>
    <w:rsid w:val="009B4B03"/>
    <w:rsid w:val="009B6ADD"/>
    <w:rsid w:val="009B7551"/>
    <w:rsid w:val="009C32DB"/>
    <w:rsid w:val="009D5591"/>
    <w:rsid w:val="009E1D57"/>
    <w:rsid w:val="00A00366"/>
    <w:rsid w:val="00A41B67"/>
    <w:rsid w:val="00A45468"/>
    <w:rsid w:val="00A459BF"/>
    <w:rsid w:val="00A51E11"/>
    <w:rsid w:val="00A5519C"/>
    <w:rsid w:val="00A57056"/>
    <w:rsid w:val="00A6165A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26493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94B3A"/>
    <w:rsid w:val="00BA0D8F"/>
    <w:rsid w:val="00BA5A2B"/>
    <w:rsid w:val="00BB1A79"/>
    <w:rsid w:val="00BB5D53"/>
    <w:rsid w:val="00BC34AE"/>
    <w:rsid w:val="00BD5185"/>
    <w:rsid w:val="00BE2186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17B5"/>
    <w:rsid w:val="00C72EDC"/>
    <w:rsid w:val="00C83E67"/>
    <w:rsid w:val="00C929FD"/>
    <w:rsid w:val="00C92D15"/>
    <w:rsid w:val="00C95E5F"/>
    <w:rsid w:val="00CA4186"/>
    <w:rsid w:val="00CA7DDE"/>
    <w:rsid w:val="00CB21E7"/>
    <w:rsid w:val="00CB62AB"/>
    <w:rsid w:val="00CC024B"/>
    <w:rsid w:val="00CC1A54"/>
    <w:rsid w:val="00CC559A"/>
    <w:rsid w:val="00CC5E95"/>
    <w:rsid w:val="00CC6E81"/>
    <w:rsid w:val="00CD0094"/>
    <w:rsid w:val="00CD0BBB"/>
    <w:rsid w:val="00CD3054"/>
    <w:rsid w:val="00CD4C80"/>
    <w:rsid w:val="00CF0D58"/>
    <w:rsid w:val="00CF67F8"/>
    <w:rsid w:val="00CF7BF1"/>
    <w:rsid w:val="00D1403D"/>
    <w:rsid w:val="00D215C7"/>
    <w:rsid w:val="00D41EA8"/>
    <w:rsid w:val="00D46E36"/>
    <w:rsid w:val="00D56DBF"/>
    <w:rsid w:val="00D8200B"/>
    <w:rsid w:val="00D838E9"/>
    <w:rsid w:val="00D940CA"/>
    <w:rsid w:val="00D94D01"/>
    <w:rsid w:val="00DB7D46"/>
    <w:rsid w:val="00DC4EA3"/>
    <w:rsid w:val="00DD55E1"/>
    <w:rsid w:val="00DD7BD4"/>
    <w:rsid w:val="00DE1117"/>
    <w:rsid w:val="00DE3059"/>
    <w:rsid w:val="00DF3CD1"/>
    <w:rsid w:val="00E04B46"/>
    <w:rsid w:val="00E2008E"/>
    <w:rsid w:val="00E21910"/>
    <w:rsid w:val="00E30F21"/>
    <w:rsid w:val="00E367C6"/>
    <w:rsid w:val="00E50671"/>
    <w:rsid w:val="00E60AB7"/>
    <w:rsid w:val="00E67C72"/>
    <w:rsid w:val="00E7413A"/>
    <w:rsid w:val="00EC3A5B"/>
    <w:rsid w:val="00ED0C71"/>
    <w:rsid w:val="00ED13AC"/>
    <w:rsid w:val="00ED14DD"/>
    <w:rsid w:val="00EE0304"/>
    <w:rsid w:val="00F145EC"/>
    <w:rsid w:val="00F24065"/>
    <w:rsid w:val="00F242DC"/>
    <w:rsid w:val="00F5073C"/>
    <w:rsid w:val="00F5122E"/>
    <w:rsid w:val="00F541C4"/>
    <w:rsid w:val="00F72480"/>
    <w:rsid w:val="00F72C7C"/>
    <w:rsid w:val="00F8276E"/>
    <w:rsid w:val="00FA1D7C"/>
    <w:rsid w:val="00FB23D1"/>
    <w:rsid w:val="00FB25FB"/>
    <w:rsid w:val="00FB4FE1"/>
    <w:rsid w:val="00FC2892"/>
    <w:rsid w:val="00FC38E2"/>
    <w:rsid w:val="00FC47FD"/>
    <w:rsid w:val="00FC73C7"/>
    <w:rsid w:val="00FD20E4"/>
    <w:rsid w:val="00FE2935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18</cp:revision>
  <dcterms:created xsi:type="dcterms:W3CDTF">2014-11-12T12:43:00Z</dcterms:created>
  <dcterms:modified xsi:type="dcterms:W3CDTF">2014-12-27T09:32:00Z</dcterms:modified>
</cp:coreProperties>
</file>